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2F9" w:rsidRDefault="00D062F9" w:rsidP="00D062F9">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D062F9">
        <w:rPr>
          <w:rFonts w:ascii="Times New Roman" w:eastAsia="Times New Roman" w:hAnsi="Times New Roman" w:cs="Times New Roman"/>
          <w:b/>
          <w:bCs/>
          <w:color w:val="002A80"/>
          <w:kern w:val="36"/>
          <w:sz w:val="34"/>
          <w:szCs w:val="34"/>
        </w:rPr>
        <w:t>Hijab in the Bible and Torah</w:t>
      </w:r>
    </w:p>
    <w:p w:rsidR="00D062F9" w:rsidRPr="00D062F9" w:rsidRDefault="00D062F9" w:rsidP="00D062F9">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D062F9">
        <w:rPr>
          <w:rFonts w:ascii="Times New Roman" w:eastAsia="Times New Roman" w:hAnsi="Times New Roman" w:cs="Times New Roman"/>
          <w:b/>
          <w:bCs/>
          <w:color w:val="002A80"/>
          <w:kern w:val="36"/>
          <w:sz w:val="34"/>
          <w:szCs w:val="34"/>
        </w:rPr>
        <w:t xml:space="preserve"> (</w:t>
      </w:r>
      <w:proofErr w:type="gramStart"/>
      <w:r w:rsidRPr="00D062F9">
        <w:rPr>
          <w:rFonts w:ascii="Times New Roman" w:eastAsia="Times New Roman" w:hAnsi="Times New Roman" w:cs="Times New Roman"/>
          <w:b/>
          <w:bCs/>
          <w:color w:val="002A80"/>
          <w:kern w:val="36"/>
          <w:sz w:val="34"/>
          <w:szCs w:val="34"/>
        </w:rPr>
        <w:t>part</w:t>
      </w:r>
      <w:proofErr w:type="gramEnd"/>
      <w:r w:rsidRPr="00D062F9">
        <w:rPr>
          <w:rFonts w:ascii="Times New Roman" w:eastAsia="Times New Roman" w:hAnsi="Times New Roman" w:cs="Times New Roman"/>
          <w:b/>
          <w:bCs/>
          <w:color w:val="002A80"/>
          <w:kern w:val="36"/>
          <w:sz w:val="34"/>
          <w:szCs w:val="34"/>
        </w:rPr>
        <w:t xml:space="preserve"> 1 of 2): Hijab in Christian Denominations</w:t>
      </w:r>
    </w:p>
    <w:p w:rsidR="005F6A10" w:rsidRDefault="00D062F9" w:rsidP="00D062F9">
      <w:pPr>
        <w:jc w:val="center"/>
        <w:rPr>
          <w:rFonts w:hint="cs"/>
          <w:rtl/>
          <w:lang w:bidi="ar-EG"/>
        </w:rPr>
      </w:pPr>
      <w:r>
        <w:rPr>
          <w:noProof/>
        </w:rPr>
        <w:drawing>
          <wp:inline distT="0" distB="0" distL="0" distR="0">
            <wp:extent cx="2743200" cy="1818005"/>
            <wp:effectExtent l="19050" t="0" r="0" b="0"/>
            <wp:docPr id="11" name="Picture 11" descr="HijabinBibleTora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ijabinBibleTorah1.jpg"/>
                    <pic:cNvPicPr>
                      <a:picLocks noChangeAspect="1" noChangeArrowheads="1"/>
                    </pic:cNvPicPr>
                  </pic:nvPicPr>
                  <pic:blipFill>
                    <a:blip r:embed="rId4" cstate="print"/>
                    <a:srcRect/>
                    <a:stretch>
                      <a:fillRect/>
                    </a:stretch>
                  </pic:blipFill>
                  <pic:spPr bwMode="auto">
                    <a:xfrm>
                      <a:off x="0" y="0"/>
                      <a:ext cx="2743200" cy="1818005"/>
                    </a:xfrm>
                    <a:prstGeom prst="rect">
                      <a:avLst/>
                    </a:prstGeom>
                    <a:noFill/>
                    <a:ln w="9525">
                      <a:noFill/>
                      <a:miter lim="800000"/>
                      <a:headEnd/>
                      <a:tailEnd/>
                    </a:ln>
                  </pic:spPr>
                </pic:pic>
              </a:graphicData>
            </a:graphic>
          </wp:inline>
        </w:drawing>
      </w:r>
    </w:p>
    <w:p w:rsidR="00D062F9" w:rsidRPr="00D062F9" w:rsidRDefault="00D062F9" w:rsidP="00D062F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062F9">
        <w:rPr>
          <w:rFonts w:ascii="Times New Roman" w:eastAsia="Times New Roman" w:hAnsi="Times New Roman" w:cs="Times New Roman"/>
          <w:color w:val="000000"/>
          <w:sz w:val="26"/>
          <w:szCs w:val="26"/>
        </w:rPr>
        <w:t>The literal meaning of hijab is to veil, to cover or to screen.  It encompasses more than just a dress code; it is concerned with moral boundaries and respect for woman.  It is part of community cohesion and modest behaviour.  However, the term hijab has become interchangeable with the word scarf.  The meaning is sometimes extended to cultural dress standards such as the burqa of Afghanistan, the chador of Iran and the shalwar kamise of Pakistan.  Hijab has multiple meanings and in this series of articles we are going to focus on hijab as a head covering and discuss hijab in the Bible and the Torah. </w:t>
      </w:r>
    </w:p>
    <w:p w:rsidR="00D062F9" w:rsidRPr="00D062F9" w:rsidRDefault="00D062F9" w:rsidP="00D062F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062F9">
        <w:rPr>
          <w:rFonts w:ascii="Times New Roman" w:eastAsia="Times New Roman" w:hAnsi="Times New Roman" w:cs="Times New Roman"/>
          <w:color w:val="000000"/>
          <w:sz w:val="26"/>
          <w:szCs w:val="26"/>
        </w:rPr>
        <w:t>The first recorded instance of veiling or covering the hair for women is recorded in Assyrian legal texts from the 13th century BCE.  Its use was restricted to noble women.   Prostitutes, slaves and poor women were forbidden to cover their hair/heads.   In both the ancient empires of Greece and Rome there is evidence that points to various degrees of head coverings worn by females.  Particularly in Rome it seems that head coverings were associated with prayer and devotion.  While in Greece evidence determined by sculpture and pottery from that time leads many to believe that respectable woman covered their heads outside the home.  As new discoveries are made our opinions about the degree and reasons for covering wax and wane but we can be sure that women’s head or hair covering was not an unknown practice.</w:t>
      </w:r>
    </w:p>
    <w:p w:rsidR="00D062F9" w:rsidRPr="00D062F9" w:rsidRDefault="00D062F9" w:rsidP="00D062F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062F9">
        <w:rPr>
          <w:rFonts w:ascii="Times New Roman" w:eastAsia="Times New Roman" w:hAnsi="Times New Roman" w:cs="Times New Roman"/>
          <w:color w:val="000000"/>
          <w:sz w:val="26"/>
          <w:szCs w:val="26"/>
        </w:rPr>
        <w:t>Interestingly the Bible verses to which Christians refer to when explaining why women should cover their heads, especially in prayer or in church come to us from Saint Paul in his letters to the Corinthians.  Corinth was a city situated on the peninsula of Southern Greece and was part of the Roman Empire during the time Corinthians was written.  It was a cultural melting-pot of Roman, Greek, and Jewish cultures, thus it is pertinent to wonder what cultural norms were retained as the city changed hands and empires.   </w:t>
      </w:r>
    </w:p>
    <w:p w:rsidR="00D062F9" w:rsidRPr="00D062F9" w:rsidRDefault="00D062F9" w:rsidP="00D062F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062F9">
        <w:rPr>
          <w:rFonts w:ascii="Times New Roman" w:eastAsia="Times New Roman" w:hAnsi="Times New Roman" w:cs="Times New Roman"/>
          <w:color w:val="000000"/>
          <w:sz w:val="26"/>
          <w:szCs w:val="26"/>
        </w:rPr>
        <w:t xml:space="preserve">1 Corinthians 11:5, says that   “Every woman who prays or prophesies with her head uncovered dishonours her head, for that is one and the same as if her </w:t>
      </w:r>
      <w:r w:rsidRPr="00D062F9">
        <w:rPr>
          <w:rFonts w:ascii="Times New Roman" w:eastAsia="Times New Roman" w:hAnsi="Times New Roman" w:cs="Times New Roman"/>
          <w:color w:val="000000"/>
          <w:sz w:val="26"/>
          <w:szCs w:val="26"/>
        </w:rPr>
        <w:lastRenderedPageBreak/>
        <w:t>head were shaved.” The early Christian women veiled their heads in church and anytime they were in public and Christian women continued to maintain this practice to some degree throughout the centuries until the 19</w:t>
      </w:r>
      <w:r w:rsidRPr="00D062F9">
        <w:rPr>
          <w:rFonts w:ascii="Times New Roman" w:eastAsia="Times New Roman" w:hAnsi="Times New Roman" w:cs="Times New Roman"/>
          <w:color w:val="000000"/>
          <w:sz w:val="26"/>
          <w:szCs w:val="26"/>
          <w:vertAlign w:val="superscript"/>
        </w:rPr>
        <w:t>th</w:t>
      </w:r>
      <w:r w:rsidRPr="00D062F9">
        <w:rPr>
          <w:rFonts w:ascii="Times New Roman" w:eastAsia="Times New Roman" w:hAnsi="Times New Roman" w:cs="Times New Roman"/>
          <w:color w:val="000000"/>
          <w:sz w:val="26"/>
        </w:rPr>
        <w:t> </w:t>
      </w:r>
      <w:r w:rsidRPr="00D062F9">
        <w:rPr>
          <w:rFonts w:ascii="Times New Roman" w:eastAsia="Times New Roman" w:hAnsi="Times New Roman" w:cs="Times New Roman"/>
          <w:color w:val="000000"/>
          <w:sz w:val="26"/>
          <w:szCs w:val="26"/>
        </w:rPr>
        <w:t>and 20</w:t>
      </w:r>
      <w:r w:rsidRPr="00D062F9">
        <w:rPr>
          <w:rFonts w:ascii="Times New Roman" w:eastAsia="Times New Roman" w:hAnsi="Times New Roman" w:cs="Times New Roman"/>
          <w:color w:val="000000"/>
          <w:sz w:val="26"/>
          <w:szCs w:val="26"/>
          <w:vertAlign w:val="superscript"/>
        </w:rPr>
        <w:t>th</w:t>
      </w:r>
      <w:r w:rsidRPr="00D062F9">
        <w:rPr>
          <w:rFonts w:ascii="Times New Roman" w:eastAsia="Times New Roman" w:hAnsi="Times New Roman" w:cs="Times New Roman"/>
          <w:color w:val="000000"/>
          <w:sz w:val="26"/>
        </w:rPr>
        <w:t> </w:t>
      </w:r>
      <w:r w:rsidRPr="00D062F9">
        <w:rPr>
          <w:rFonts w:ascii="Times New Roman" w:eastAsia="Times New Roman" w:hAnsi="Times New Roman" w:cs="Times New Roman"/>
          <w:color w:val="000000"/>
          <w:sz w:val="26"/>
          <w:szCs w:val="26"/>
        </w:rPr>
        <w:t>centuries when the practice rapidly declined.   </w:t>
      </w:r>
    </w:p>
    <w:p w:rsidR="00D062F9" w:rsidRPr="00D062F9" w:rsidRDefault="00D062F9" w:rsidP="00D062F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062F9">
        <w:rPr>
          <w:rFonts w:ascii="Times New Roman" w:eastAsia="Times New Roman" w:hAnsi="Times New Roman" w:cs="Times New Roman"/>
          <w:color w:val="000000"/>
          <w:sz w:val="26"/>
          <w:szCs w:val="26"/>
        </w:rPr>
        <w:t>In Corinth and throughout Christian history the head covering was, and in some places and denominations still is, considered a sign of submission to authority, to God and or to her husband.  Christians in second century Egypt were urged by Christian theologian Clement to “… go to church decently attired, with natural step, embracing silence, possessing unfeigned love, pure in body, pure in heart, fit to pray to God.  Let the woman observe this, further.  Let her be entirely covered, unless she happens to be at home.  For that style of dress is grave, and protects from being gazed at.  And she will never fall, who puts before her eyes modesty, and her shawl; nor will she invite another to fall into sin by uncovering her face.  For this is the wish of the Word, since it is becoming for her to pray veiled.”</w:t>
      </w:r>
      <w:bookmarkStart w:id="0" w:name="_ftnref22637"/>
      <w:r w:rsidRPr="00D062F9">
        <w:rPr>
          <w:rFonts w:ascii="Times New Roman" w:eastAsia="Times New Roman" w:hAnsi="Times New Roman" w:cs="Times New Roman"/>
          <w:color w:val="000000"/>
          <w:sz w:val="26"/>
          <w:szCs w:val="26"/>
        </w:rPr>
        <w:fldChar w:fldCharType="begin"/>
      </w:r>
      <w:r w:rsidRPr="00D062F9">
        <w:rPr>
          <w:rFonts w:ascii="Times New Roman" w:eastAsia="Times New Roman" w:hAnsi="Times New Roman" w:cs="Times New Roman"/>
          <w:color w:val="000000"/>
          <w:sz w:val="26"/>
          <w:szCs w:val="26"/>
        </w:rPr>
        <w:instrText xml:space="preserve"> HYPERLINK "http://www.islamreligion.com/articles/10443/" \l "_ftn22637" \o "
Clement of Alexandria, Paedagogus [The Instructor], Book III.  Chapter XI.  English
translation from Ante-Nicene Fathers." </w:instrText>
      </w:r>
      <w:r w:rsidRPr="00D062F9">
        <w:rPr>
          <w:rFonts w:ascii="Times New Roman" w:eastAsia="Times New Roman" w:hAnsi="Times New Roman" w:cs="Times New Roman"/>
          <w:color w:val="000000"/>
          <w:sz w:val="26"/>
          <w:szCs w:val="26"/>
        </w:rPr>
        <w:fldChar w:fldCharType="separate"/>
      </w:r>
      <w:r w:rsidRPr="00D062F9">
        <w:rPr>
          <w:rFonts w:ascii="Times New Roman" w:eastAsia="Times New Roman" w:hAnsi="Times New Roman" w:cs="Times New Roman"/>
          <w:color w:val="800080"/>
          <w:position w:val="2"/>
          <w:sz w:val="23"/>
          <w:u w:val="single"/>
        </w:rPr>
        <w:t>[1]</w:t>
      </w:r>
      <w:r w:rsidRPr="00D062F9">
        <w:rPr>
          <w:rFonts w:ascii="Times New Roman" w:eastAsia="Times New Roman" w:hAnsi="Times New Roman" w:cs="Times New Roman"/>
          <w:color w:val="000000"/>
          <w:sz w:val="26"/>
          <w:szCs w:val="26"/>
        </w:rPr>
        <w:fldChar w:fldCharType="end"/>
      </w:r>
      <w:bookmarkEnd w:id="0"/>
    </w:p>
    <w:p w:rsidR="00D062F9" w:rsidRPr="00D062F9" w:rsidRDefault="00D062F9" w:rsidP="00D062F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062F9">
        <w:rPr>
          <w:rFonts w:ascii="Times New Roman" w:eastAsia="Times New Roman" w:hAnsi="Times New Roman" w:cs="Times New Roman"/>
          <w:color w:val="000000"/>
          <w:sz w:val="26"/>
          <w:szCs w:val="26"/>
        </w:rPr>
        <w:t xml:space="preserve">The historical roots of veiling in Western Europe go back to the Byzantine Empire, where veiling codes attributed high social rank to families whose women were veiled.  In the </w:t>
      </w:r>
      <w:proofErr w:type="gramStart"/>
      <w:r w:rsidRPr="00D062F9">
        <w:rPr>
          <w:rFonts w:ascii="Times New Roman" w:eastAsia="Times New Roman" w:hAnsi="Times New Roman" w:cs="Times New Roman"/>
          <w:color w:val="000000"/>
          <w:sz w:val="26"/>
          <w:szCs w:val="26"/>
        </w:rPr>
        <w:t>Middle</w:t>
      </w:r>
      <w:proofErr w:type="gramEnd"/>
      <w:r w:rsidRPr="00D062F9">
        <w:rPr>
          <w:rFonts w:ascii="Times New Roman" w:eastAsia="Times New Roman" w:hAnsi="Times New Roman" w:cs="Times New Roman"/>
          <w:color w:val="000000"/>
          <w:sz w:val="26"/>
          <w:szCs w:val="26"/>
        </w:rPr>
        <w:t xml:space="preserve"> Ages it was customary for married women to cover their hair with various kinds of coverings.  Paintings of urban women in Western Europe often depict everything covered except the face and hands.  At the time peasant and working-class women who did not cover were considered "loose" and fair game for assault.  This non respectable depiction of uncovered women also plays out in the Muslim context where Quran says that veiling or covering indicates the high status of believing women.   </w:t>
      </w:r>
    </w:p>
    <w:p w:rsidR="00D062F9" w:rsidRPr="00D062F9" w:rsidRDefault="00D062F9" w:rsidP="00D062F9">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D062F9">
        <w:rPr>
          <w:rFonts w:ascii="Times New Roman" w:eastAsia="Times New Roman" w:hAnsi="Times New Roman" w:cs="Times New Roman"/>
          <w:b/>
          <w:bCs/>
          <w:color w:val="000000"/>
          <w:sz w:val="26"/>
          <w:szCs w:val="26"/>
        </w:rPr>
        <w:t>“…Tell your wives and your daughters and the women of the believers to draw their cloaks (veils) all over their bodies That will be better, that they should be known (as free respectable women) so as not to be annoyed (molested or insulted)...” (Quran 33:59)</w:t>
      </w:r>
    </w:p>
    <w:p w:rsidR="00D062F9" w:rsidRPr="00D062F9" w:rsidRDefault="00D062F9" w:rsidP="00D062F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062F9">
        <w:rPr>
          <w:rFonts w:ascii="Times New Roman" w:eastAsia="Times New Roman" w:hAnsi="Times New Roman" w:cs="Times New Roman"/>
          <w:color w:val="000000"/>
          <w:sz w:val="26"/>
          <w:szCs w:val="26"/>
        </w:rPr>
        <w:t>A Christian woman who becomes a nun is said "to take the veil".  This is said in reference to her head covering.   Nuns throughout Christian history have been recognisable by their distinctive head coverings many of which resemble Muslim hijab.  In medieval times, across the western world married women normally covered their hair outside the house, and nun's veils were often based on secular styles, reflecting a nun’s position as “a bride of Christ".  Nuns were said to give up a secular life in order to serve God but nonetheless were due the respect and honour given to a modest married woman.</w:t>
      </w:r>
    </w:p>
    <w:p w:rsidR="00D062F9" w:rsidRPr="00D062F9" w:rsidRDefault="00D062F9" w:rsidP="00D062F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062F9">
        <w:rPr>
          <w:rFonts w:ascii="Times New Roman" w:eastAsia="Times New Roman" w:hAnsi="Times New Roman" w:cs="Times New Roman"/>
          <w:color w:val="000000"/>
          <w:sz w:val="26"/>
          <w:szCs w:val="26"/>
        </w:rPr>
        <w:t xml:space="preserve">There is some evidence to suggest that veiling in Spain was influenced by the remnants of the Andalusian Islamic empire and by Muslim women from nearby North Africa.  The lightweight lace head covering known as the mantilla came into use in Spain at the end of the 16th century, and was a common sight at Catholic masses throughout the world.  Queen Isabella II of Spain actively encouraged its use inside and outside the church.  After her abdication in 1870, the use of the mantilla became largely limited to formal </w:t>
      </w:r>
      <w:r w:rsidRPr="00D062F9">
        <w:rPr>
          <w:rFonts w:ascii="Times New Roman" w:eastAsia="Times New Roman" w:hAnsi="Times New Roman" w:cs="Times New Roman"/>
          <w:color w:val="000000"/>
          <w:sz w:val="26"/>
          <w:szCs w:val="26"/>
        </w:rPr>
        <w:lastRenderedPageBreak/>
        <w:t>occasions and at mass.  Strangely enough the requirement that women cover their heads in church was not introduced into Canon Law until 1917.   From then until 1983, the Catholic Church’s Code of Canon Law mandated that women wear veils or other head coverings.  Prior to 1917, there was no such law, though wearing hats or veils was customary for women.</w:t>
      </w:r>
    </w:p>
    <w:p w:rsidR="00D062F9" w:rsidRPr="00D062F9" w:rsidRDefault="00D062F9" w:rsidP="00D062F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062F9">
        <w:rPr>
          <w:rFonts w:ascii="Times New Roman" w:eastAsia="Times New Roman" w:hAnsi="Times New Roman" w:cs="Times New Roman"/>
          <w:color w:val="000000"/>
          <w:sz w:val="26"/>
          <w:szCs w:val="26"/>
        </w:rPr>
        <w:t>Although the use of veils and scarves has diminished there are some Christian denominations where the practice has maintained its high status and is in some cases mandatory.  For nearly 2000 years Orthodox women, whether they be Greek, Serbian, Russian, Egyptian, or Syrian have gone to church with their heads covered.  The universal Orthodox Church has an enforced dress code based around non distraction from prayer.  In Albania, Christian women often wear white veils and in Albanian Orthodox Christian church buildings, women are separated from men by latticework partitions.  Many smaller protestant Christian denominations wear some sort of head covering or hijab.  These include the Amish, the Mennonites, and the Hutterites.  In those Protestant denominations that have no official expectation that women cover, some individuals choose to practice head covering according to their understanding of 1 Corinthians 11.  Many Catholic women choose to cover their heads to emulate the Virgin Mary.  Mary the mother of Jesus covered her head and hair according to Jewish customs of the time and we will explore these and later Judaic hijab customs in the next article.</w:t>
      </w:r>
    </w:p>
    <w:p w:rsidR="00D062F9" w:rsidRPr="00D062F9" w:rsidRDefault="00D062F9" w:rsidP="00D062F9">
      <w:pPr>
        <w:shd w:val="clear" w:color="auto" w:fill="E1F4FD"/>
        <w:bidi w:val="0"/>
        <w:spacing w:after="0" w:line="240" w:lineRule="auto"/>
        <w:rPr>
          <w:rFonts w:ascii="Arial" w:eastAsia="Times New Roman" w:hAnsi="Arial" w:cs="Arial"/>
          <w:color w:val="000000"/>
        </w:rPr>
      </w:pPr>
      <w:r w:rsidRPr="00D062F9">
        <w:rPr>
          <w:rFonts w:ascii="Arial" w:eastAsia="Times New Roman" w:hAnsi="Arial" w:cs="Arial"/>
          <w:color w:val="000000"/>
        </w:rPr>
        <w:br w:type="textWrapping" w:clear="all"/>
      </w:r>
    </w:p>
    <w:p w:rsidR="00D062F9" w:rsidRPr="00D062F9" w:rsidRDefault="00D062F9" w:rsidP="00D062F9">
      <w:pPr>
        <w:shd w:val="clear" w:color="auto" w:fill="E1F4FD"/>
        <w:bidi w:val="0"/>
        <w:spacing w:after="0" w:line="240" w:lineRule="auto"/>
        <w:rPr>
          <w:rFonts w:ascii="Arial" w:eastAsia="Times New Roman" w:hAnsi="Arial" w:cs="Arial"/>
          <w:color w:val="000000"/>
        </w:rPr>
      </w:pPr>
      <w:r w:rsidRPr="00D062F9">
        <w:rPr>
          <w:rFonts w:ascii="Arial" w:eastAsia="Times New Roman" w:hAnsi="Arial" w:cs="Arial"/>
          <w:color w:val="000000"/>
        </w:rPr>
        <w:pict>
          <v:rect id="_x0000_i1025" style="width:155pt;height:1.5pt" o:hrpct="0" o:hralign="center" o:hrstd="t" o:hr="t" fillcolor="#a0a0a0" stroked="f"/>
        </w:pict>
      </w:r>
    </w:p>
    <w:p w:rsidR="00D062F9" w:rsidRPr="00D062F9" w:rsidRDefault="00D062F9" w:rsidP="00D062F9">
      <w:pPr>
        <w:shd w:val="clear" w:color="auto" w:fill="E1F4FD"/>
        <w:bidi w:val="0"/>
        <w:spacing w:after="0" w:line="240" w:lineRule="auto"/>
        <w:rPr>
          <w:rFonts w:ascii="Arial" w:eastAsia="Times New Roman" w:hAnsi="Arial" w:cs="Arial"/>
          <w:color w:val="000000"/>
        </w:rPr>
      </w:pPr>
      <w:r w:rsidRPr="00D062F9">
        <w:rPr>
          <w:rFonts w:ascii="Times New Roman" w:eastAsia="Times New Roman" w:hAnsi="Times New Roman" w:cs="Times New Roman"/>
          <w:b/>
          <w:bCs/>
          <w:color w:val="000000"/>
          <w:sz w:val="26"/>
        </w:rPr>
        <w:t>Footnotes:</w:t>
      </w:r>
    </w:p>
    <w:bookmarkStart w:id="1" w:name="_ftn22637"/>
    <w:p w:rsidR="00D062F9" w:rsidRPr="00D062F9" w:rsidRDefault="00D062F9" w:rsidP="00D062F9">
      <w:pPr>
        <w:shd w:val="clear" w:color="auto" w:fill="E1F4FD"/>
        <w:bidi w:val="0"/>
        <w:spacing w:before="100" w:after="100" w:line="240" w:lineRule="auto"/>
        <w:rPr>
          <w:rFonts w:ascii="Times New Roman" w:eastAsia="Times New Roman" w:hAnsi="Times New Roman" w:cs="Times New Roman"/>
          <w:color w:val="000000"/>
        </w:rPr>
      </w:pPr>
      <w:r w:rsidRPr="00D062F9">
        <w:rPr>
          <w:rFonts w:ascii="Times New Roman" w:eastAsia="Times New Roman" w:hAnsi="Times New Roman" w:cs="Times New Roman"/>
          <w:color w:val="000000"/>
        </w:rPr>
        <w:fldChar w:fldCharType="begin"/>
      </w:r>
      <w:r w:rsidRPr="00D062F9">
        <w:rPr>
          <w:rFonts w:ascii="Times New Roman" w:eastAsia="Times New Roman" w:hAnsi="Times New Roman" w:cs="Times New Roman"/>
          <w:color w:val="000000"/>
        </w:rPr>
        <w:instrText xml:space="preserve"> HYPERLINK "http://www.islamreligion.com/articles/10443/" \l "_ftnref22637" \o "Back to the refrence of this footnote" </w:instrText>
      </w:r>
      <w:r w:rsidRPr="00D062F9">
        <w:rPr>
          <w:rFonts w:ascii="Times New Roman" w:eastAsia="Times New Roman" w:hAnsi="Times New Roman" w:cs="Times New Roman"/>
          <w:color w:val="000000"/>
        </w:rPr>
        <w:fldChar w:fldCharType="separate"/>
      </w:r>
      <w:r w:rsidRPr="00D062F9">
        <w:rPr>
          <w:rFonts w:ascii="Times New Roman" w:eastAsia="Times New Roman" w:hAnsi="Times New Roman" w:cs="Times New Roman"/>
          <w:color w:val="800080"/>
          <w:position w:val="2"/>
          <w:sz w:val="20"/>
          <w:u w:val="single"/>
        </w:rPr>
        <w:t>[1]</w:t>
      </w:r>
      <w:r w:rsidRPr="00D062F9">
        <w:rPr>
          <w:rFonts w:ascii="Times New Roman" w:eastAsia="Times New Roman" w:hAnsi="Times New Roman" w:cs="Times New Roman"/>
          <w:color w:val="000000"/>
        </w:rPr>
        <w:fldChar w:fldCharType="end"/>
      </w:r>
      <w:bookmarkEnd w:id="1"/>
      <w:r w:rsidRPr="00D062F9">
        <w:rPr>
          <w:rFonts w:ascii="Times New Roman" w:eastAsia="Times New Roman" w:hAnsi="Times New Roman" w:cs="Times New Roman"/>
          <w:color w:val="000000"/>
        </w:rPr>
        <w:t xml:space="preserve"> Clement of Alexandria, Paedagogus [The Instructor], Book III.  </w:t>
      </w:r>
      <w:proofErr w:type="gramStart"/>
      <w:r w:rsidRPr="00D062F9">
        <w:rPr>
          <w:rFonts w:ascii="Times New Roman" w:eastAsia="Times New Roman" w:hAnsi="Times New Roman" w:cs="Times New Roman"/>
          <w:color w:val="000000"/>
        </w:rPr>
        <w:t>Chapter XI.</w:t>
      </w:r>
      <w:proofErr w:type="gramEnd"/>
      <w:r w:rsidRPr="00D062F9">
        <w:rPr>
          <w:rFonts w:ascii="Times New Roman" w:eastAsia="Times New Roman" w:hAnsi="Times New Roman" w:cs="Times New Roman"/>
          <w:color w:val="000000"/>
        </w:rPr>
        <w:t xml:space="preserve">  </w:t>
      </w:r>
      <w:proofErr w:type="gramStart"/>
      <w:r w:rsidRPr="00D062F9">
        <w:rPr>
          <w:rFonts w:ascii="Times New Roman" w:eastAsia="Times New Roman" w:hAnsi="Times New Roman" w:cs="Times New Roman"/>
          <w:color w:val="000000"/>
        </w:rPr>
        <w:t>English translation from Ante-Nicene Fathers.</w:t>
      </w:r>
      <w:proofErr w:type="gramEnd"/>
    </w:p>
    <w:p w:rsidR="00D062F9" w:rsidRPr="00D062F9" w:rsidRDefault="00D062F9" w:rsidP="00D062F9">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D062F9">
        <w:rPr>
          <w:rFonts w:ascii="Times New Roman" w:eastAsia="Times New Roman" w:hAnsi="Times New Roman" w:cs="Times New Roman"/>
          <w:b/>
          <w:bCs/>
          <w:color w:val="002A80"/>
          <w:kern w:val="36"/>
          <w:sz w:val="34"/>
          <w:szCs w:val="34"/>
        </w:rPr>
        <w:t>(</w:t>
      </w:r>
      <w:proofErr w:type="gramStart"/>
      <w:r w:rsidRPr="00D062F9">
        <w:rPr>
          <w:rFonts w:ascii="Times New Roman" w:eastAsia="Times New Roman" w:hAnsi="Times New Roman" w:cs="Times New Roman"/>
          <w:b/>
          <w:bCs/>
          <w:color w:val="002A80"/>
          <w:kern w:val="36"/>
          <w:sz w:val="34"/>
          <w:szCs w:val="34"/>
        </w:rPr>
        <w:t>part</w:t>
      </w:r>
      <w:proofErr w:type="gramEnd"/>
      <w:r w:rsidRPr="00D062F9">
        <w:rPr>
          <w:rFonts w:ascii="Times New Roman" w:eastAsia="Times New Roman" w:hAnsi="Times New Roman" w:cs="Times New Roman"/>
          <w:b/>
          <w:bCs/>
          <w:color w:val="002A80"/>
          <w:kern w:val="36"/>
          <w:sz w:val="34"/>
          <w:szCs w:val="34"/>
        </w:rPr>
        <w:t xml:space="preserve"> 2 of 2): Hijab in Torah</w:t>
      </w:r>
    </w:p>
    <w:p w:rsidR="00D062F9" w:rsidRDefault="00D062F9" w:rsidP="00D062F9">
      <w:pPr>
        <w:pStyle w:val="w-body-text-1"/>
        <w:shd w:val="clear" w:color="auto" w:fill="E1F4FD"/>
        <w:spacing w:before="0" w:beforeAutospacing="0" w:after="160" w:afterAutospacing="0"/>
        <w:ind w:firstLine="397"/>
        <w:rPr>
          <w:color w:val="000000"/>
          <w:sz w:val="26"/>
          <w:szCs w:val="26"/>
        </w:rPr>
      </w:pPr>
      <w:r>
        <w:rPr>
          <w:color w:val="000000"/>
          <w:sz w:val="26"/>
          <w:szCs w:val="26"/>
        </w:rPr>
        <w:t>Modern Jewish women who cover their hair ascribe various meanings to the act.  For some it is a sign of marriage, for others it is a symbol of piety and humility, perhaps an act of deference to the will of God.  It is also thought of as a sign of modesty.  In Biblical times, in the Middle East and the ancient Greco Roman worlds it was customary for the hair to be covered, at least by married, respectable and free women.  The Old Testament (Torah) mentions head or hair covering only briefly but these few words have evolved into a complex hijab ritual practiced by devout Jews across the globe.</w:t>
      </w:r>
    </w:p>
    <w:p w:rsidR="00D062F9" w:rsidRDefault="00D062F9" w:rsidP="00D062F9">
      <w:pPr>
        <w:pStyle w:val="w-body-text-1"/>
        <w:shd w:val="clear" w:color="auto" w:fill="E1F4FD"/>
        <w:spacing w:before="0" w:beforeAutospacing="0" w:after="160" w:afterAutospacing="0"/>
        <w:ind w:firstLine="397"/>
        <w:rPr>
          <w:color w:val="000000"/>
          <w:sz w:val="26"/>
          <w:szCs w:val="26"/>
        </w:rPr>
      </w:pPr>
      <w:r>
        <w:rPr>
          <w:color w:val="000000"/>
          <w:sz w:val="26"/>
          <w:szCs w:val="26"/>
        </w:rPr>
        <w:t>The claim that covering the hair was a biblical injunction comes from a small passage in the Book of Numbers referring to the priest uncovering or loosening a women’s hair as a punishment or humiliation.  It describes a ceremony that tests the fidelity of a woman accused of adultery.  According to the Torah, the priest uncovers or unbraids the accused woman’s hair as part of the humiliation that precedes the ceremony and can be found in the Book of Numbers 5:18.   </w:t>
      </w:r>
    </w:p>
    <w:p w:rsidR="00D062F9" w:rsidRDefault="00D062F9" w:rsidP="00D062F9">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Other orders calling for the Jewish woman to wear hijab or to cover her hair come from the body of literature known collectively as the Talmud.  Accordingly women ‘going about’ with uncovered hair were engaging in an unacceptable act, so unacceptable that it was considered grounds for divorce.  In a society so highly conscious of sexuality and its dangers, veiling was considered an absolute necessity to maintain modesty and chastity.  Some rabbis even considered the exposure of a woman’s hair to be as socially unacceptable as the exposure of her private parts.  Thus married women were enjoined to cover their hair in communal spaces and many rabbis even forbade the recitation of blessings in the presence of a bareheaded woman. </w:t>
      </w:r>
    </w:p>
    <w:p w:rsidR="00D062F9" w:rsidRDefault="00D062F9" w:rsidP="00D062F9">
      <w:pPr>
        <w:pStyle w:val="w-body-text-1"/>
        <w:shd w:val="clear" w:color="auto" w:fill="E1F4FD"/>
        <w:spacing w:before="0" w:beforeAutospacing="0" w:after="160" w:afterAutospacing="0"/>
        <w:ind w:firstLine="397"/>
        <w:rPr>
          <w:color w:val="000000"/>
          <w:sz w:val="26"/>
          <w:szCs w:val="26"/>
        </w:rPr>
      </w:pPr>
      <w:r>
        <w:rPr>
          <w:color w:val="000000"/>
          <w:sz w:val="26"/>
          <w:szCs w:val="26"/>
        </w:rPr>
        <w:t>The modesty laws found in the Talmud acted to render the woman inaccessible and unavailable to all but her husband.  The covering of the hair was a warning signifying that the wearer was a respectable married woman.  So although the Jewish hijab is a symbol of submission it is also a badge of honour.  When a married woman covers her head it is a symbol of the greater dignity now attributed to her.  Many women regard their head coverings as a queen does her crown. </w:t>
      </w:r>
    </w:p>
    <w:p w:rsidR="00D062F9" w:rsidRDefault="00D062F9" w:rsidP="00D062F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biblical and post biblical Judaism the wearing of hijab came to represent part of a women’s life cycle, symbolizing the move from maidenhood to womanhood.  By the </w:t>
      </w:r>
      <w:proofErr w:type="gramStart"/>
      <w:r>
        <w:rPr>
          <w:color w:val="000000"/>
          <w:sz w:val="26"/>
          <w:szCs w:val="26"/>
        </w:rPr>
        <w:t>Middle</w:t>
      </w:r>
      <w:proofErr w:type="gramEnd"/>
      <w:r>
        <w:rPr>
          <w:color w:val="000000"/>
          <w:sz w:val="26"/>
          <w:szCs w:val="26"/>
        </w:rPr>
        <w:t xml:space="preserve"> Ages, across the Jewish world, hair covering was a firmly entrenched religious obligation.  Interestingly this was the same obligation that at the </w:t>
      </w:r>
      <w:proofErr w:type="gramStart"/>
      <w:r>
        <w:rPr>
          <w:color w:val="000000"/>
          <w:sz w:val="26"/>
          <w:szCs w:val="26"/>
        </w:rPr>
        <w:t>time,</w:t>
      </w:r>
      <w:proofErr w:type="gramEnd"/>
      <w:r>
        <w:rPr>
          <w:color w:val="000000"/>
          <w:sz w:val="26"/>
          <w:szCs w:val="26"/>
        </w:rPr>
        <w:t xml:space="preserve"> existed in both the Christian and Muslim spheres of influence. </w:t>
      </w:r>
    </w:p>
    <w:p w:rsidR="00D062F9" w:rsidRDefault="00D062F9" w:rsidP="00D062F9">
      <w:pPr>
        <w:pStyle w:val="w-body-text-1"/>
        <w:shd w:val="clear" w:color="auto" w:fill="E1F4FD"/>
        <w:spacing w:before="0" w:beforeAutospacing="0" w:after="160" w:afterAutospacing="0"/>
        <w:ind w:firstLine="397"/>
        <w:rPr>
          <w:color w:val="000000"/>
          <w:sz w:val="26"/>
          <w:szCs w:val="26"/>
        </w:rPr>
      </w:pPr>
      <w:r>
        <w:rPr>
          <w:color w:val="000000"/>
          <w:sz w:val="26"/>
          <w:szCs w:val="26"/>
        </w:rPr>
        <w:t>The first serious challenge to traditional hair covering came from the wearing of wigs.  A practice that began in the French court soon swept over Europe and into the Jewish communities.  The practice was at first denounced by Jewish authorities who inveighed against what appeared to be inappropriate emulation of the ways of the non-Jews.  Many maintained that the traditional prohibition against women displaying their hair was to prevent feminine attraction from giving men sinful thoughts.  The wig, they claimed, could evoke the same feelings as the women’s own hair.  Nonetheless the wearing of wigs soon crept into Jewish communities and was eventually accepted. </w:t>
      </w:r>
    </w:p>
    <w:p w:rsidR="00D062F9" w:rsidRDefault="00D062F9" w:rsidP="00D062F9">
      <w:pPr>
        <w:pStyle w:val="w-body-text-1"/>
        <w:shd w:val="clear" w:color="auto" w:fill="E1F4FD"/>
        <w:spacing w:before="0" w:beforeAutospacing="0" w:after="160" w:afterAutospacing="0"/>
        <w:ind w:firstLine="397"/>
        <w:rPr>
          <w:color w:val="000000"/>
          <w:sz w:val="26"/>
          <w:szCs w:val="26"/>
        </w:rPr>
      </w:pPr>
      <w:r>
        <w:rPr>
          <w:color w:val="000000"/>
          <w:sz w:val="26"/>
          <w:szCs w:val="26"/>
        </w:rPr>
        <w:t>Despite this many Jewish women continued to find it difficult to wear a wig instead of the more traditional scarves and veils and some wore the wig but covered it in the usual manner.  The wearing of wigs as a hair covering also had a comeback in the 19</w:t>
      </w:r>
      <w:r>
        <w:rPr>
          <w:color w:val="000000"/>
          <w:sz w:val="26"/>
          <w:szCs w:val="26"/>
          <w:vertAlign w:val="superscript"/>
        </w:rPr>
        <w:t>th</w:t>
      </w:r>
      <w:r>
        <w:rPr>
          <w:rStyle w:val="apple-converted-space"/>
          <w:color w:val="000000"/>
          <w:sz w:val="26"/>
          <w:szCs w:val="26"/>
        </w:rPr>
        <w:t> </w:t>
      </w:r>
      <w:r>
        <w:rPr>
          <w:color w:val="000000"/>
          <w:sz w:val="26"/>
          <w:szCs w:val="26"/>
        </w:rPr>
        <w:t>and 20</w:t>
      </w:r>
      <w:r>
        <w:rPr>
          <w:color w:val="000000"/>
          <w:sz w:val="26"/>
          <w:szCs w:val="26"/>
          <w:vertAlign w:val="superscript"/>
        </w:rPr>
        <w:t>th</w:t>
      </w:r>
      <w:r>
        <w:rPr>
          <w:rStyle w:val="apple-converted-space"/>
          <w:color w:val="000000"/>
          <w:sz w:val="26"/>
          <w:szCs w:val="26"/>
        </w:rPr>
        <w:t> </w:t>
      </w:r>
      <w:r>
        <w:rPr>
          <w:color w:val="000000"/>
          <w:sz w:val="26"/>
          <w:szCs w:val="26"/>
        </w:rPr>
        <w:t>centuries when Jewish women needed to participate in secular life but did not want to compromise religious edicts.  When the external pressures of the European life forced many Jewish women to go out bare-headed some found it more convenient to replace their traditional veil with a wig.   </w:t>
      </w:r>
    </w:p>
    <w:p w:rsidR="00D062F9" w:rsidRDefault="00D062F9" w:rsidP="00D062F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While not inexorably linked with the wearing of wigs the practice of shaving a woman’s hair upon marriage became prevalent in central Europe in what is known as the early modern period Jewish law.  Thus many women </w:t>
      </w:r>
      <w:r>
        <w:rPr>
          <w:color w:val="000000"/>
          <w:sz w:val="26"/>
          <w:szCs w:val="26"/>
        </w:rPr>
        <w:lastRenderedPageBreak/>
        <w:t>chose to shave their heads in order that no hair could escape the confines of her wig or scarf.</w:t>
      </w:r>
    </w:p>
    <w:p w:rsidR="00D062F9" w:rsidRDefault="00D062F9" w:rsidP="00D062F9">
      <w:pPr>
        <w:pStyle w:val="w-body-text-1"/>
        <w:shd w:val="clear" w:color="auto" w:fill="E1F4FD"/>
        <w:spacing w:before="0" w:beforeAutospacing="0" w:after="160" w:afterAutospacing="0"/>
        <w:ind w:firstLine="397"/>
        <w:rPr>
          <w:color w:val="000000"/>
          <w:sz w:val="26"/>
          <w:szCs w:val="26"/>
        </w:rPr>
      </w:pPr>
      <w:r>
        <w:rPr>
          <w:color w:val="000000"/>
          <w:sz w:val="26"/>
          <w:szCs w:val="26"/>
        </w:rPr>
        <w:t>Into the 20</w:t>
      </w:r>
      <w:r>
        <w:rPr>
          <w:color w:val="000000"/>
          <w:sz w:val="26"/>
          <w:szCs w:val="26"/>
          <w:vertAlign w:val="superscript"/>
        </w:rPr>
        <w:t>th</w:t>
      </w:r>
      <w:r>
        <w:rPr>
          <w:rStyle w:val="apple-converted-space"/>
          <w:color w:val="000000"/>
          <w:sz w:val="26"/>
          <w:szCs w:val="26"/>
        </w:rPr>
        <w:t> </w:t>
      </w:r>
      <w:r>
        <w:rPr>
          <w:color w:val="000000"/>
          <w:sz w:val="26"/>
          <w:szCs w:val="26"/>
        </w:rPr>
        <w:t>and 21</w:t>
      </w:r>
      <w:r>
        <w:rPr>
          <w:color w:val="000000"/>
          <w:sz w:val="26"/>
          <w:szCs w:val="26"/>
          <w:vertAlign w:val="superscript"/>
        </w:rPr>
        <w:t>st</w:t>
      </w:r>
      <w:r>
        <w:rPr>
          <w:rStyle w:val="apple-converted-space"/>
          <w:color w:val="000000"/>
          <w:sz w:val="26"/>
          <w:szCs w:val="26"/>
        </w:rPr>
        <w:t> </w:t>
      </w:r>
      <w:r>
        <w:rPr>
          <w:color w:val="000000"/>
          <w:sz w:val="26"/>
          <w:szCs w:val="26"/>
        </w:rPr>
        <w:t>centuries there is widespread disregard for the practice of hair covering itself.  However religiously oriented Jews continue to confront the problem.  There are rabbis who tolerate the lapse of the custom with the understanding that society had changed and it is no longer considered immodest to keep one’s hair uncovered but for the most part head covering continues to be problematic.  Today, the majority of Jewish women do not cover their hair except in the synagogue.</w:t>
      </w:r>
    </w:p>
    <w:p w:rsidR="00D062F9" w:rsidRDefault="00D062F9" w:rsidP="00D062F9">
      <w:pPr>
        <w:pStyle w:val="w-body-text-1"/>
        <w:shd w:val="clear" w:color="auto" w:fill="E1F4FD"/>
        <w:spacing w:before="0" w:beforeAutospacing="0" w:after="160" w:afterAutospacing="0"/>
        <w:ind w:firstLine="397"/>
        <w:rPr>
          <w:color w:val="000000"/>
          <w:sz w:val="26"/>
          <w:szCs w:val="26"/>
        </w:rPr>
      </w:pPr>
      <w:r>
        <w:rPr>
          <w:color w:val="000000"/>
          <w:sz w:val="26"/>
          <w:szCs w:val="26"/>
        </w:rPr>
        <w:t>For Jewish and Muslim women modesty is an important part of their faith, influencing their daily lives in many ways such as how they walk, dress, and interact with others.  Both religions encourage modesty primarily to channel a woman’s beauty to where it truly belongs, within her marriage.  Both religions take their laws of modesty very seriously and hijab is considered a way of living rather than just a scarf, wig, or veil.  At one time, and as little as 100 years ago, most Christian denominations considered covering their hair and dressing modestly an integral part of their religious beliefs too.  In the 21</w:t>
      </w:r>
      <w:r>
        <w:rPr>
          <w:color w:val="000000"/>
          <w:sz w:val="26"/>
          <w:szCs w:val="26"/>
          <w:vertAlign w:val="superscript"/>
        </w:rPr>
        <w:t>st</w:t>
      </w:r>
      <w:r>
        <w:rPr>
          <w:rStyle w:val="apple-converted-space"/>
          <w:color w:val="000000"/>
          <w:sz w:val="26"/>
          <w:szCs w:val="26"/>
        </w:rPr>
        <w:t> </w:t>
      </w:r>
      <w:r>
        <w:rPr>
          <w:color w:val="000000"/>
          <w:sz w:val="26"/>
          <w:szCs w:val="26"/>
        </w:rPr>
        <w:t>century this behaviour is generally restricted to fringe denominations yet to a certain extent both Christianity and Judaism still consider modest dress and behaviour to be the norm.   </w:t>
      </w:r>
    </w:p>
    <w:p w:rsidR="00D062F9" w:rsidRPr="00D062F9" w:rsidRDefault="00D062F9" w:rsidP="00D062F9">
      <w:pPr>
        <w:jc w:val="center"/>
        <w:rPr>
          <w:rFonts w:hint="cs"/>
          <w:lang w:bidi="ar-EG"/>
        </w:rPr>
      </w:pPr>
    </w:p>
    <w:sectPr w:rsidR="00D062F9" w:rsidRPr="00D062F9"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1E3AD3"/>
    <w:rsid w:val="0012644C"/>
    <w:rsid w:val="001E3AD3"/>
    <w:rsid w:val="00210D19"/>
    <w:rsid w:val="005F6A10"/>
    <w:rsid w:val="00A436CF"/>
    <w:rsid w:val="00D062F9"/>
    <w:rsid w:val="00E8402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02F"/>
    <w:pPr>
      <w:bidi/>
    </w:pPr>
  </w:style>
  <w:style w:type="paragraph" w:styleId="Heading1">
    <w:name w:val="heading 1"/>
    <w:basedOn w:val="Normal"/>
    <w:link w:val="Heading1Char"/>
    <w:uiPriority w:val="9"/>
    <w:qFormat/>
    <w:rsid w:val="001E3AD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AD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F6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A10"/>
    <w:rPr>
      <w:rFonts w:ascii="Tahoma" w:hAnsi="Tahoma" w:cs="Tahoma"/>
      <w:sz w:val="16"/>
      <w:szCs w:val="16"/>
    </w:rPr>
  </w:style>
  <w:style w:type="paragraph" w:customStyle="1" w:styleId="w-body-text-1">
    <w:name w:val="w-body-text-1"/>
    <w:basedOn w:val="Normal"/>
    <w:rsid w:val="005F6A1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5F6A10"/>
  </w:style>
  <w:style w:type="character" w:customStyle="1" w:styleId="apple-converted-space">
    <w:name w:val="apple-converted-space"/>
    <w:basedOn w:val="DefaultParagraphFont"/>
    <w:rsid w:val="005F6A10"/>
  </w:style>
  <w:style w:type="character" w:customStyle="1" w:styleId="w-footnote-title">
    <w:name w:val="w-footnote-title"/>
    <w:basedOn w:val="DefaultParagraphFont"/>
    <w:rsid w:val="005F6A10"/>
  </w:style>
  <w:style w:type="paragraph" w:customStyle="1" w:styleId="w-footnote-text">
    <w:name w:val="w-footnote-text"/>
    <w:basedOn w:val="Normal"/>
    <w:rsid w:val="005F6A1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D062F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613855">
      <w:bodyDiv w:val="1"/>
      <w:marLeft w:val="0"/>
      <w:marRight w:val="0"/>
      <w:marTop w:val="0"/>
      <w:marBottom w:val="0"/>
      <w:divBdr>
        <w:top w:val="none" w:sz="0" w:space="0" w:color="auto"/>
        <w:left w:val="none" w:sz="0" w:space="0" w:color="auto"/>
        <w:bottom w:val="none" w:sz="0" w:space="0" w:color="auto"/>
        <w:right w:val="none" w:sz="0" w:space="0" w:color="auto"/>
      </w:divBdr>
    </w:div>
    <w:div w:id="575434028">
      <w:bodyDiv w:val="1"/>
      <w:marLeft w:val="0"/>
      <w:marRight w:val="0"/>
      <w:marTop w:val="0"/>
      <w:marBottom w:val="0"/>
      <w:divBdr>
        <w:top w:val="none" w:sz="0" w:space="0" w:color="auto"/>
        <w:left w:val="none" w:sz="0" w:space="0" w:color="auto"/>
        <w:bottom w:val="none" w:sz="0" w:space="0" w:color="auto"/>
        <w:right w:val="none" w:sz="0" w:space="0" w:color="auto"/>
      </w:divBdr>
    </w:div>
    <w:div w:id="654836956">
      <w:bodyDiv w:val="1"/>
      <w:marLeft w:val="0"/>
      <w:marRight w:val="0"/>
      <w:marTop w:val="0"/>
      <w:marBottom w:val="0"/>
      <w:divBdr>
        <w:top w:val="none" w:sz="0" w:space="0" w:color="auto"/>
        <w:left w:val="none" w:sz="0" w:space="0" w:color="auto"/>
        <w:bottom w:val="none" w:sz="0" w:space="0" w:color="auto"/>
        <w:right w:val="none" w:sz="0" w:space="0" w:color="auto"/>
      </w:divBdr>
      <w:divsChild>
        <w:div w:id="1070924160">
          <w:marLeft w:val="0"/>
          <w:marRight w:val="0"/>
          <w:marTop w:val="0"/>
          <w:marBottom w:val="0"/>
          <w:divBdr>
            <w:top w:val="none" w:sz="0" w:space="0" w:color="auto"/>
            <w:left w:val="none" w:sz="0" w:space="0" w:color="auto"/>
            <w:bottom w:val="none" w:sz="0" w:space="0" w:color="auto"/>
            <w:right w:val="none" w:sz="0" w:space="0" w:color="auto"/>
          </w:divBdr>
        </w:div>
        <w:div w:id="144397673">
          <w:marLeft w:val="0"/>
          <w:marRight w:val="0"/>
          <w:marTop w:val="0"/>
          <w:marBottom w:val="0"/>
          <w:divBdr>
            <w:top w:val="none" w:sz="0" w:space="0" w:color="auto"/>
            <w:left w:val="none" w:sz="0" w:space="0" w:color="auto"/>
            <w:bottom w:val="none" w:sz="0" w:space="0" w:color="auto"/>
            <w:right w:val="none" w:sz="0" w:space="0" w:color="auto"/>
          </w:divBdr>
        </w:div>
        <w:div w:id="869340816">
          <w:marLeft w:val="0"/>
          <w:marRight w:val="0"/>
          <w:marTop w:val="0"/>
          <w:marBottom w:val="0"/>
          <w:divBdr>
            <w:top w:val="none" w:sz="0" w:space="0" w:color="auto"/>
            <w:left w:val="none" w:sz="0" w:space="0" w:color="auto"/>
            <w:bottom w:val="none" w:sz="0" w:space="0" w:color="auto"/>
            <w:right w:val="none" w:sz="0" w:space="0" w:color="auto"/>
          </w:divBdr>
        </w:div>
      </w:divsChild>
    </w:div>
    <w:div w:id="673919135">
      <w:bodyDiv w:val="1"/>
      <w:marLeft w:val="0"/>
      <w:marRight w:val="0"/>
      <w:marTop w:val="0"/>
      <w:marBottom w:val="0"/>
      <w:divBdr>
        <w:top w:val="none" w:sz="0" w:space="0" w:color="auto"/>
        <w:left w:val="none" w:sz="0" w:space="0" w:color="auto"/>
        <w:bottom w:val="none" w:sz="0" w:space="0" w:color="auto"/>
        <w:right w:val="none" w:sz="0" w:space="0" w:color="auto"/>
      </w:divBdr>
    </w:div>
    <w:div w:id="1026373282">
      <w:bodyDiv w:val="1"/>
      <w:marLeft w:val="0"/>
      <w:marRight w:val="0"/>
      <w:marTop w:val="0"/>
      <w:marBottom w:val="0"/>
      <w:divBdr>
        <w:top w:val="none" w:sz="0" w:space="0" w:color="auto"/>
        <w:left w:val="none" w:sz="0" w:space="0" w:color="auto"/>
        <w:bottom w:val="none" w:sz="0" w:space="0" w:color="auto"/>
        <w:right w:val="none" w:sz="0" w:space="0" w:color="auto"/>
      </w:divBdr>
    </w:div>
    <w:div w:id="1035694313">
      <w:bodyDiv w:val="1"/>
      <w:marLeft w:val="0"/>
      <w:marRight w:val="0"/>
      <w:marTop w:val="0"/>
      <w:marBottom w:val="0"/>
      <w:divBdr>
        <w:top w:val="none" w:sz="0" w:space="0" w:color="auto"/>
        <w:left w:val="none" w:sz="0" w:space="0" w:color="auto"/>
        <w:bottom w:val="none" w:sz="0" w:space="0" w:color="auto"/>
        <w:right w:val="none" w:sz="0" w:space="0" w:color="auto"/>
      </w:divBdr>
    </w:div>
    <w:div w:id="1310524043">
      <w:bodyDiv w:val="1"/>
      <w:marLeft w:val="0"/>
      <w:marRight w:val="0"/>
      <w:marTop w:val="0"/>
      <w:marBottom w:val="0"/>
      <w:divBdr>
        <w:top w:val="none" w:sz="0" w:space="0" w:color="auto"/>
        <w:left w:val="none" w:sz="0" w:space="0" w:color="auto"/>
        <w:bottom w:val="none" w:sz="0" w:space="0" w:color="auto"/>
        <w:right w:val="none" w:sz="0" w:space="0" w:color="auto"/>
      </w:divBdr>
      <w:divsChild>
        <w:div w:id="1603755380">
          <w:marLeft w:val="0"/>
          <w:marRight w:val="0"/>
          <w:marTop w:val="0"/>
          <w:marBottom w:val="0"/>
          <w:divBdr>
            <w:top w:val="none" w:sz="0" w:space="0" w:color="auto"/>
            <w:left w:val="none" w:sz="0" w:space="0" w:color="auto"/>
            <w:bottom w:val="none" w:sz="0" w:space="0" w:color="auto"/>
            <w:right w:val="none" w:sz="0" w:space="0" w:color="auto"/>
          </w:divBdr>
        </w:div>
        <w:div w:id="1542470935">
          <w:marLeft w:val="0"/>
          <w:marRight w:val="0"/>
          <w:marTop w:val="0"/>
          <w:marBottom w:val="0"/>
          <w:divBdr>
            <w:top w:val="none" w:sz="0" w:space="0" w:color="auto"/>
            <w:left w:val="none" w:sz="0" w:space="0" w:color="auto"/>
            <w:bottom w:val="none" w:sz="0" w:space="0" w:color="auto"/>
            <w:right w:val="none" w:sz="0" w:space="0" w:color="auto"/>
          </w:divBdr>
        </w:div>
        <w:div w:id="1069692353">
          <w:marLeft w:val="0"/>
          <w:marRight w:val="0"/>
          <w:marTop w:val="0"/>
          <w:marBottom w:val="0"/>
          <w:divBdr>
            <w:top w:val="none" w:sz="0" w:space="0" w:color="auto"/>
            <w:left w:val="none" w:sz="0" w:space="0" w:color="auto"/>
            <w:bottom w:val="none" w:sz="0" w:space="0" w:color="auto"/>
            <w:right w:val="none" w:sz="0" w:space="0" w:color="auto"/>
          </w:divBdr>
        </w:div>
      </w:divsChild>
    </w:div>
    <w:div w:id="1593932837">
      <w:bodyDiv w:val="1"/>
      <w:marLeft w:val="0"/>
      <w:marRight w:val="0"/>
      <w:marTop w:val="0"/>
      <w:marBottom w:val="0"/>
      <w:divBdr>
        <w:top w:val="none" w:sz="0" w:space="0" w:color="auto"/>
        <w:left w:val="none" w:sz="0" w:space="0" w:color="auto"/>
        <w:bottom w:val="none" w:sz="0" w:space="0" w:color="auto"/>
        <w:right w:val="none" w:sz="0" w:space="0" w:color="auto"/>
      </w:divBdr>
      <w:divsChild>
        <w:div w:id="939146954">
          <w:marLeft w:val="0"/>
          <w:marRight w:val="0"/>
          <w:marTop w:val="0"/>
          <w:marBottom w:val="0"/>
          <w:divBdr>
            <w:top w:val="none" w:sz="0" w:space="0" w:color="auto"/>
            <w:left w:val="none" w:sz="0" w:space="0" w:color="auto"/>
            <w:bottom w:val="none" w:sz="0" w:space="0" w:color="auto"/>
            <w:right w:val="none" w:sz="0" w:space="0" w:color="auto"/>
          </w:divBdr>
        </w:div>
      </w:divsChild>
    </w:div>
    <w:div w:id="1694067253">
      <w:bodyDiv w:val="1"/>
      <w:marLeft w:val="0"/>
      <w:marRight w:val="0"/>
      <w:marTop w:val="0"/>
      <w:marBottom w:val="0"/>
      <w:divBdr>
        <w:top w:val="none" w:sz="0" w:space="0" w:color="auto"/>
        <w:left w:val="none" w:sz="0" w:space="0" w:color="auto"/>
        <w:bottom w:val="none" w:sz="0" w:space="0" w:color="auto"/>
        <w:right w:val="none" w:sz="0" w:space="0" w:color="auto"/>
      </w:divBdr>
    </w:div>
    <w:div w:id="1707368251">
      <w:bodyDiv w:val="1"/>
      <w:marLeft w:val="0"/>
      <w:marRight w:val="0"/>
      <w:marTop w:val="0"/>
      <w:marBottom w:val="0"/>
      <w:divBdr>
        <w:top w:val="none" w:sz="0" w:space="0" w:color="auto"/>
        <w:left w:val="none" w:sz="0" w:space="0" w:color="auto"/>
        <w:bottom w:val="none" w:sz="0" w:space="0" w:color="auto"/>
        <w:right w:val="none" w:sz="0" w:space="0" w:color="auto"/>
      </w:divBdr>
      <w:divsChild>
        <w:div w:id="1373726216">
          <w:marLeft w:val="0"/>
          <w:marRight w:val="0"/>
          <w:marTop w:val="0"/>
          <w:marBottom w:val="0"/>
          <w:divBdr>
            <w:top w:val="none" w:sz="0" w:space="0" w:color="auto"/>
            <w:left w:val="none" w:sz="0" w:space="0" w:color="auto"/>
            <w:bottom w:val="none" w:sz="0" w:space="0" w:color="auto"/>
            <w:right w:val="none" w:sz="0" w:space="0" w:color="auto"/>
          </w:divBdr>
        </w:div>
        <w:div w:id="1456101135">
          <w:marLeft w:val="0"/>
          <w:marRight w:val="0"/>
          <w:marTop w:val="0"/>
          <w:marBottom w:val="0"/>
          <w:divBdr>
            <w:top w:val="none" w:sz="0" w:space="0" w:color="auto"/>
            <w:left w:val="none" w:sz="0" w:space="0" w:color="auto"/>
            <w:bottom w:val="none" w:sz="0" w:space="0" w:color="auto"/>
            <w:right w:val="none" w:sz="0" w:space="0" w:color="auto"/>
          </w:divBdr>
        </w:div>
        <w:div w:id="1847094923">
          <w:marLeft w:val="0"/>
          <w:marRight w:val="0"/>
          <w:marTop w:val="0"/>
          <w:marBottom w:val="0"/>
          <w:divBdr>
            <w:top w:val="none" w:sz="0" w:space="0" w:color="auto"/>
            <w:left w:val="none" w:sz="0" w:space="0" w:color="auto"/>
            <w:bottom w:val="none" w:sz="0" w:space="0" w:color="auto"/>
            <w:right w:val="none" w:sz="0" w:space="0" w:color="auto"/>
          </w:divBdr>
        </w:div>
      </w:divsChild>
    </w:div>
    <w:div w:id="1963918597">
      <w:bodyDiv w:val="1"/>
      <w:marLeft w:val="0"/>
      <w:marRight w:val="0"/>
      <w:marTop w:val="0"/>
      <w:marBottom w:val="0"/>
      <w:divBdr>
        <w:top w:val="none" w:sz="0" w:space="0" w:color="auto"/>
        <w:left w:val="none" w:sz="0" w:space="0" w:color="auto"/>
        <w:bottom w:val="none" w:sz="0" w:space="0" w:color="auto"/>
        <w:right w:val="none" w:sz="0" w:space="0" w:color="auto"/>
      </w:divBdr>
    </w:div>
    <w:div w:id="1964531130">
      <w:bodyDiv w:val="1"/>
      <w:marLeft w:val="0"/>
      <w:marRight w:val="0"/>
      <w:marTop w:val="0"/>
      <w:marBottom w:val="0"/>
      <w:divBdr>
        <w:top w:val="none" w:sz="0" w:space="0" w:color="auto"/>
        <w:left w:val="none" w:sz="0" w:space="0" w:color="auto"/>
        <w:bottom w:val="none" w:sz="0" w:space="0" w:color="auto"/>
        <w:right w:val="none" w:sz="0" w:space="0" w:color="auto"/>
      </w:divBdr>
      <w:divsChild>
        <w:div w:id="1833788887">
          <w:marLeft w:val="0"/>
          <w:marRight w:val="0"/>
          <w:marTop w:val="0"/>
          <w:marBottom w:val="0"/>
          <w:divBdr>
            <w:top w:val="none" w:sz="0" w:space="0" w:color="auto"/>
            <w:left w:val="none" w:sz="0" w:space="0" w:color="auto"/>
            <w:bottom w:val="none" w:sz="0" w:space="0" w:color="auto"/>
            <w:right w:val="none" w:sz="0" w:space="0" w:color="auto"/>
          </w:divBdr>
        </w:div>
        <w:div w:id="379669313">
          <w:marLeft w:val="0"/>
          <w:marRight w:val="0"/>
          <w:marTop w:val="0"/>
          <w:marBottom w:val="0"/>
          <w:divBdr>
            <w:top w:val="none" w:sz="0" w:space="0" w:color="auto"/>
            <w:left w:val="none" w:sz="0" w:space="0" w:color="auto"/>
            <w:bottom w:val="none" w:sz="0" w:space="0" w:color="auto"/>
            <w:right w:val="none" w:sz="0" w:space="0" w:color="auto"/>
          </w:divBdr>
        </w:div>
        <w:div w:id="290208371">
          <w:marLeft w:val="0"/>
          <w:marRight w:val="0"/>
          <w:marTop w:val="0"/>
          <w:marBottom w:val="0"/>
          <w:divBdr>
            <w:top w:val="none" w:sz="0" w:space="0" w:color="auto"/>
            <w:left w:val="none" w:sz="0" w:space="0" w:color="auto"/>
            <w:bottom w:val="none" w:sz="0" w:space="0" w:color="auto"/>
            <w:right w:val="none" w:sz="0" w:space="0" w:color="auto"/>
          </w:divBdr>
        </w:div>
      </w:divsChild>
    </w:div>
    <w:div w:id="21269227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706">
          <w:marLeft w:val="0"/>
          <w:marRight w:val="0"/>
          <w:marTop w:val="0"/>
          <w:marBottom w:val="0"/>
          <w:divBdr>
            <w:top w:val="none" w:sz="0" w:space="0" w:color="auto"/>
            <w:left w:val="none" w:sz="0" w:space="0" w:color="auto"/>
            <w:bottom w:val="none" w:sz="0" w:space="0" w:color="auto"/>
            <w:right w:val="none" w:sz="0" w:space="0" w:color="auto"/>
          </w:divBdr>
        </w:div>
        <w:div w:id="1558201737">
          <w:marLeft w:val="0"/>
          <w:marRight w:val="0"/>
          <w:marTop w:val="0"/>
          <w:marBottom w:val="0"/>
          <w:divBdr>
            <w:top w:val="none" w:sz="0" w:space="0" w:color="auto"/>
            <w:left w:val="none" w:sz="0" w:space="0" w:color="auto"/>
            <w:bottom w:val="none" w:sz="0" w:space="0" w:color="auto"/>
            <w:right w:val="none" w:sz="0" w:space="0" w:color="auto"/>
          </w:divBdr>
        </w:div>
        <w:div w:id="827549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2142</Words>
  <Characters>10714</Characters>
  <Application>Microsoft Office Word</Application>
  <DocSecurity>0</DocSecurity>
  <Lines>191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2014-12-04T17:44:00Z</cp:lastPrinted>
  <dcterms:created xsi:type="dcterms:W3CDTF">2014-12-04T17:45:00Z</dcterms:created>
  <dcterms:modified xsi:type="dcterms:W3CDTF">2014-12-04T17:45:00Z</dcterms:modified>
</cp:coreProperties>
</file>